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0" w:rsidRPr="00AC1E44" w:rsidRDefault="00975EA0" w:rsidP="00975EA0">
      <w:pPr>
        <w:spacing w:before="20" w:after="20"/>
        <w:jc w:val="center"/>
        <w:rPr>
          <w:rFonts w:ascii="Arial" w:hAnsi="Arial" w:cs="Arial"/>
          <w:b/>
          <w:sz w:val="18"/>
          <w:szCs w:val="18"/>
        </w:rPr>
      </w:pPr>
      <w:r w:rsidRPr="00AC1E44">
        <w:rPr>
          <w:rFonts w:ascii="Arial" w:hAnsi="Arial" w:cs="Arial"/>
          <w:b/>
          <w:sz w:val="18"/>
          <w:szCs w:val="18"/>
        </w:rPr>
        <w:t>Tabla de actualización y conservación de la infor</w:t>
      </w:r>
      <w:r>
        <w:rPr>
          <w:rFonts w:ascii="Arial" w:hAnsi="Arial" w:cs="Arial"/>
          <w:b/>
          <w:sz w:val="18"/>
          <w:szCs w:val="18"/>
        </w:rPr>
        <w:t>mación pública derivada de las Obligaciones de T</w:t>
      </w:r>
      <w:r w:rsidRPr="00AC1E44">
        <w:rPr>
          <w:rFonts w:ascii="Arial" w:hAnsi="Arial" w:cs="Arial"/>
          <w:b/>
          <w:sz w:val="18"/>
          <w:szCs w:val="18"/>
        </w:rPr>
        <w:t>ransparencia</w:t>
      </w:r>
      <w:r>
        <w:rPr>
          <w:rFonts w:ascii="Arial" w:hAnsi="Arial" w:cs="Arial"/>
          <w:b/>
          <w:sz w:val="18"/>
          <w:szCs w:val="18"/>
        </w:rPr>
        <w:t xml:space="preserve"> Comunes - Ley 875 - 2018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82"/>
        <w:gridCol w:w="2962"/>
        <w:gridCol w:w="1055"/>
        <w:gridCol w:w="1496"/>
        <w:gridCol w:w="1337"/>
      </w:tblGrid>
      <w:tr w:rsidR="00975EA0" w:rsidRPr="00692B85" w:rsidTr="00B46634">
        <w:trPr>
          <w:trHeight w:val="482"/>
        </w:trPr>
        <w:tc>
          <w:tcPr>
            <w:tcW w:w="1122" w:type="pct"/>
            <w:shd w:val="clear" w:color="auto" w:fill="BEBEBE"/>
            <w:vAlign w:val="center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Artículo</w:t>
            </w:r>
          </w:p>
        </w:tc>
        <w:tc>
          <w:tcPr>
            <w:tcW w:w="1677" w:type="pct"/>
            <w:shd w:val="clear" w:color="auto" w:fill="BEBEBE"/>
            <w:vAlign w:val="center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Fracción/inciso</w:t>
            </w:r>
          </w:p>
        </w:tc>
        <w:tc>
          <w:tcPr>
            <w:tcW w:w="597" w:type="pct"/>
            <w:shd w:val="clear" w:color="auto" w:fill="BEBEBE"/>
            <w:vAlign w:val="center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Periodo de actualización</w:t>
            </w:r>
          </w:p>
        </w:tc>
        <w:tc>
          <w:tcPr>
            <w:tcW w:w="847" w:type="pct"/>
            <w:shd w:val="clear" w:color="auto" w:fill="BEBEBE"/>
            <w:vAlign w:val="center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Observaciones acerca de la información a publicar</w:t>
            </w:r>
          </w:p>
        </w:tc>
        <w:tc>
          <w:tcPr>
            <w:tcW w:w="757" w:type="pct"/>
            <w:shd w:val="clear" w:color="auto" w:fill="BEBEBE"/>
            <w:vAlign w:val="center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Periodo de Conservación de la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información</w:t>
            </w:r>
          </w:p>
        </w:tc>
      </w:tr>
      <w:tr w:rsidR="00975EA0" w:rsidRPr="00692B85" w:rsidTr="00B46634">
        <w:trPr>
          <w:trHeight w:val="343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39" w:right="27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Artículo 15 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770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las disposiciones aplicables;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48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facultades de cada Área;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metas y objetivos de las Áreas de conformidad con sus programas operativos;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 la correspondiente a los seis ejercicios anteriores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VI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indicadores que permitan rendir cuenta de sus objetivos y resultados;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299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VII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</w:t>
            </w:r>
            <w:bookmarkStart w:id="0" w:name="_GoBack"/>
            <w:r w:rsidRPr="00692B85">
              <w:rPr>
                <w:rFonts w:ascii="Arial" w:hAnsi="Arial" w:cs="Arial"/>
                <w:i/>
                <w:sz w:val="14"/>
                <w:szCs w:val="14"/>
              </w:rPr>
              <w:t>confianza</w:t>
            </w:r>
            <w:bookmarkEnd w:id="0"/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 u honorarios y personal de base.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El directorio deberá incluir, al menos el nombre, cargo o nombramiento asignado, nivel del puesto en la estructura orgánica, fecha de alta en el cargo, número telefónico, domicilio para recibir correspondencia y dirección de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correo electrónico oficiales;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689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VIII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remuneración;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En caso de que exista alguna modificación antes de la conclusión del periodo, la información deberá actualizarse a más tardar en los 15 días hábiles posteriores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la correspondiente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al ejercicio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inmediato anterior</w:t>
            </w:r>
          </w:p>
        </w:tc>
      </w:tr>
      <w:tr w:rsidR="00975EA0" w:rsidRPr="00692B85" w:rsidTr="00B46634">
        <w:trPr>
          <w:trHeight w:val="64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IX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gastos de representación y viáticos, así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como el objeto e informe de comisión correspondiente;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Se sujetará al previsto en los Lineamientos Técnicos 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Generales</w:t>
            </w:r>
          </w:p>
        </w:tc>
      </w:tr>
      <w:tr w:rsidR="00975EA0" w:rsidRPr="00692B85" w:rsidTr="00B46634">
        <w:trPr>
          <w:trHeight w:val="96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número total de las plazas y del personal de base y confianza, especificando el total de las vacantes, por nivel de puesto, para cada unidad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administrativa;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Se sujetará al previsto en los Lineamientos Técnicos 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Generales</w:t>
            </w:r>
          </w:p>
        </w:tc>
      </w:tr>
      <w:tr w:rsidR="00975EA0" w:rsidRPr="00692B85" w:rsidTr="00B46634">
        <w:trPr>
          <w:trHeight w:val="128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contrataciones de servicios profesionales por honorarios o asimilados, señalando los nombres de los prestadores de servicios, los servicios contratados, el monto de los honorarios y el periodo de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contratación;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Información del ejercicio en curso y 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la correspondiente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al ejercicio anterior</w:t>
            </w:r>
          </w:p>
        </w:tc>
      </w:tr>
      <w:tr w:rsidR="00975EA0" w:rsidRPr="00692B85" w:rsidTr="00B46634">
        <w:trPr>
          <w:trHeight w:val="112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en Versión Pública de las declaraciones patrimoniales de los Servidores Públicos que así lo determinen, en los sistemas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habilitados para ello, de acuerdo a la normatividad aplicable;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la correspondiente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al ejercicio anterior</w:t>
            </w:r>
          </w:p>
        </w:tc>
      </w:tr>
      <w:tr w:rsidR="00975EA0" w:rsidRPr="00692B85" w:rsidTr="00B46634">
        <w:trPr>
          <w:trHeight w:val="96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domicilio de la Unidad de Transparencia, además de la dirección electrónica donde podrán recibirse las solicitudes para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obtener la información;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99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convocatorias a concursos para ocupar cargos públicos y los resultados de los mismos;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449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de los programas de subsidios, estímulos y apoyos, en el que se deberá informar respecto de los programas de transferencia, de servicios, de infraestructura social y de subsidio, en los que se deberá contener lo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692B85">
              <w:rPr>
                <w:rFonts w:ascii="Arial" w:hAnsi="Arial" w:cs="Arial"/>
                <w:i/>
                <w:sz w:val="14"/>
                <w:szCs w:val="14"/>
              </w:rPr>
              <w:t>siguiente</w:t>
            </w:r>
            <w:proofErr w:type="gramEnd"/>
            <w:r w:rsidRPr="00692B85">
              <w:rPr>
                <w:rFonts w:ascii="Arial" w:hAnsi="Arial" w:cs="Arial"/>
                <w:i/>
                <w:sz w:val="14"/>
                <w:szCs w:val="14"/>
              </w:rPr>
              <w:t>:...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514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XVI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29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XVII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curricular, desde el nivel de jefe de departamento o equivalente, hasta el titular del sujeto obligado, así como, en su caso,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las sanciones administrativas de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que haya sido objeto;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En su caso, 15 días hábiles después de alguna modificación a la información de los servidores públicos que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integran el sujeto obligado, así como su información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curricular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</w:tc>
      </w:tr>
      <w:tr w:rsidR="00975EA0" w:rsidRPr="00692B85" w:rsidTr="00B46634">
        <w:trPr>
          <w:trHeight w:val="1178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XVIII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60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Artículo 15 </w:t>
            </w: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XIX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servicios que ofrecen señalando los requisitos para acceder a ellos;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60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Artículo 15 </w:t>
            </w: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trámites, requisitos y formatos que ofrecen;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12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financiera sobre el presupuesto asignado, así como los informes del ejercicio trimestral del gasto, en términos de la Ley General de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Contabilidad Gubernamental y demás normatividad aplicable;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relativa a la deuda pública, en términos de la normatividad aplicable;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6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montos destinados a gastos relativos a comunicación social y publicidad oficial desglosada por tipo de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medio, proveedores, número de contrato y concepto o campaña;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64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informes de resultados de las auditorías al ejercicio presupuestal de cada sujeto obligado que se realicen y, en su caso, las aclaraciones que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correspondan;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resultado de la dictaminación de los estados financieros;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70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XXVI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destino de dichos recursos;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84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XXVII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concesiones, contratos, convenios, permisos, licencias o autorizaciones otorgados, especificando los titulares de aquéllos, debiendo publicarse su objeto, nombre o razón social del titular, vigencia, tipo, términos,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condiciones, monto y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modificaciones, así como si el procedimiento involucr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 el aprovechamiento de bienes,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servicios y/o recursos públicos;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529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Artículo 15 …</w:t>
            </w:r>
          </w:p>
        </w:tc>
        <w:tc>
          <w:tcPr>
            <w:tcW w:w="1677" w:type="pct"/>
          </w:tcPr>
          <w:p w:rsidR="00975EA0" w:rsidRPr="00027FAD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XXVIII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 siguiente</w:t>
            </w:r>
            <w:proofErr w:type="gramStart"/>
            <w:r w:rsidRPr="00692B85">
              <w:rPr>
                <w:rFonts w:ascii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...</w:t>
            </w:r>
            <w:proofErr w:type="gramEnd"/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XXIX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informes que por disposición legal generen los sujetos obligados;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6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Informe de avances programáticos o presupuestales, balances generales y su estado financiero;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Padrón de proveedores y contratistas;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26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convenios de coordinación de concertación con los sectores social y privado;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8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inventario de bienes muebles e inmuebles en posesión y propiedad;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26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XXXVI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resoluciones y laudos que se emitan en procesos o procedimientos seguidos en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forma de juicio;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64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XXXVII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mecanismos de participación ciudadana;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127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XXXVIII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programas que ofrecen, incluyendo información sobre la población, objetivo y destino, así como los trámites, tiempos de respuesta, requisitos y formatos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para acceder a los mismos;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265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XXXIX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actas, acuerdos y resoluciones del Comité de Transparencia de los sujetos obligados;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así como de sus órganos de gobierno, asambleas, consejos, plenos o sus equivalentes y, en su caso comisiones, comités o subcomités, según corresponda.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Semestral y 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Semestral, respecto de las sesiones y resoluciones.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En cuanto al calendario de las sesiones a celebrar, se publicará la información en el primer trimestre del ejercicio en curso.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Respecto a los integrantes del Comité de transparencia, se actualizará trimestralmente la información correspondiente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 la correspondiente al ejercicio anterior respecto a las sesiones y resoluciones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Todas las evaluaciones y encuestas que hagan los sujetos obligados a programas financiados con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recursos públicos;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estudios financiados con recursos públicos;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64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El listado de jubilados y pensionados y el monto que reciben;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12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XLIII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Los ingresos recibidos por cualquier concepto señalando el nombre de los responsables de recibirlos, administrarlos y ejercerlos, así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como su destino, indicando el destino de cada uno de ellos;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80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Donaciones hechas a terceros en dinero o en especie;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48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El catálogo de disposición y guía de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documental;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96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XLVI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Las actas de sesiones ordinarias y extraordinarias y sus anexos, así como las opiniones y recomendaciones que emitan, en su caso, los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consejos consultivos;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2669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XLVII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objeto, el alcance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temporal y los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fundamentos legales del requerimiento, así como, en su caso, la mención de que cuen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ta con la autorización judicial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correspondiente, y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13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XLVIII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. Las enajenaciones y otros actos jurídicos relacionados con bienes públicos, indicando los motivos, beneficiarios o adquirientes, así como los montos de las operaciones.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Información del ejercicio en curso y 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la correspondiente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al ejercicio anterior</w:t>
            </w:r>
          </w:p>
        </w:tc>
      </w:tr>
      <w:tr w:rsidR="00975EA0" w:rsidRPr="00692B85" w:rsidTr="00B46634">
        <w:trPr>
          <w:trHeight w:val="112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XLIX.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 Las cuentas públicas estatales y municipales, así como los documentos relativos, incluyendo el informe del resultado de su revisión y su dictamen.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84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 la correspondiente al ejercicio anterior</w:t>
            </w:r>
          </w:p>
        </w:tc>
      </w:tr>
      <w:tr w:rsidR="00975EA0" w:rsidRPr="00692B85" w:rsidTr="00B46634">
        <w:trPr>
          <w:trHeight w:val="1125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L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. El origen de fondos auxiliares especiales y la aplicación que se haya hecho de los ingresos correlativos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que se genere en el ejercicio en curso y la correspondiente al ejercicio anterior</w:t>
            </w:r>
          </w:p>
        </w:tc>
      </w:tr>
      <w:tr w:rsidR="00975EA0" w:rsidRPr="00692B85" w:rsidTr="00B46634">
        <w:trPr>
          <w:trHeight w:val="998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LI.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 Una relación de los servidores públicos comisionados por cualquier causa, incluso de carácter sindical.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la correspondiente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 al ejercicio anterior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5EA0" w:rsidRPr="00692B85" w:rsidTr="00B46634">
        <w:trPr>
          <w:trHeight w:val="1002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LII.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 Los índices de expedientes clasificados como reservados, elaborados semestralmente y por rubros temáticos.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Información del ejercicio en curso y 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 xml:space="preserve">la correspondiente 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al ejercicio anterior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5EA0" w:rsidRPr="00692B85" w:rsidTr="00B46634">
        <w:trPr>
          <w:trHeight w:val="963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Fracción LIII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. La información desclasificada, </w:t>
            </w:r>
            <w:r>
              <w:rPr>
                <w:rFonts w:ascii="Arial" w:hAnsi="Arial" w:cs="Arial"/>
                <w:i/>
                <w:sz w:val="14"/>
                <w:szCs w:val="14"/>
              </w:rPr>
              <w:t>la cual deberá de permanecer cinco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 xml:space="preserve"> años posteriores a partir de que perdió su clasificación.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Información del ejercicio en curso y</w:t>
            </w:r>
          </w:p>
          <w:p w:rsidR="00975EA0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la correspondiente</w:t>
            </w: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ejercicio de cinco</w:t>
            </w:r>
            <w:r w:rsidRPr="00692B85">
              <w:rPr>
                <w:rFonts w:ascii="Arial" w:hAnsi="Arial" w:cs="Arial"/>
                <w:sz w:val="14"/>
                <w:szCs w:val="14"/>
              </w:rPr>
              <w:t xml:space="preserve"> años.</w:t>
            </w:r>
          </w:p>
        </w:tc>
      </w:tr>
      <w:tr w:rsidR="00975EA0" w:rsidRPr="00692B85" w:rsidTr="00B46634">
        <w:trPr>
          <w:trHeight w:val="1266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>Artículo 15 …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Fracción LIV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Cualquier otra información que sea de utilidad o se considere relevante, además de la que, con base en la información estadística, responda a las preguntas hechas con más frecuencia por el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público.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  <w:tr w:rsidR="00975EA0" w:rsidRPr="00692B85" w:rsidTr="00B46634">
        <w:trPr>
          <w:trHeight w:val="1771"/>
        </w:trPr>
        <w:tc>
          <w:tcPr>
            <w:tcW w:w="1122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92B85">
              <w:rPr>
                <w:rFonts w:ascii="Arial" w:hAnsi="Arial" w:cs="Arial"/>
                <w:b/>
                <w:sz w:val="14"/>
                <w:szCs w:val="14"/>
              </w:rPr>
              <w:t>Último párrafo del Artículo 15</w:t>
            </w:r>
          </w:p>
        </w:tc>
        <w:tc>
          <w:tcPr>
            <w:tcW w:w="167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left="142" w:right="12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2B85">
              <w:rPr>
                <w:rFonts w:ascii="Arial" w:hAnsi="Arial" w:cs="Arial"/>
                <w:i/>
                <w:sz w:val="14"/>
                <w:szCs w:val="14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92B85">
              <w:rPr>
                <w:rFonts w:ascii="Arial" w:hAnsi="Arial" w:cs="Arial"/>
                <w:i/>
                <w:sz w:val="14"/>
                <w:szCs w:val="14"/>
              </w:rPr>
              <w:t>a cada sujeto obligado.</w:t>
            </w:r>
          </w:p>
        </w:tc>
        <w:tc>
          <w:tcPr>
            <w:tcW w:w="59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  <w:tc>
          <w:tcPr>
            <w:tcW w:w="84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</w:p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757" w:type="pct"/>
          </w:tcPr>
          <w:p w:rsidR="00975EA0" w:rsidRPr="00692B85" w:rsidRDefault="00975EA0" w:rsidP="00B46634">
            <w:pPr>
              <w:widowControl/>
              <w:spacing w:before="20" w:after="20" w:line="259" w:lineRule="auto"/>
              <w:ind w:right="-15"/>
              <w:rPr>
                <w:rFonts w:ascii="Arial" w:hAnsi="Arial" w:cs="Arial"/>
                <w:sz w:val="14"/>
                <w:szCs w:val="14"/>
              </w:rPr>
            </w:pPr>
            <w:r w:rsidRPr="00692B85">
              <w:rPr>
                <w:rFonts w:ascii="Arial" w:hAnsi="Arial" w:cs="Arial"/>
                <w:sz w:val="14"/>
                <w:szCs w:val="14"/>
              </w:rPr>
              <w:t>Se sujetará al previsto en los Lineamientos Técnicos  Generales</w:t>
            </w:r>
          </w:p>
        </w:tc>
      </w:tr>
    </w:tbl>
    <w:p w:rsidR="00975EA0" w:rsidRPr="00AC1E44" w:rsidRDefault="00975EA0" w:rsidP="00975EA0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p w:rsidR="00266B3E" w:rsidRDefault="00266B3E"/>
    <w:sectPr w:rsidR="00266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A0"/>
    <w:rsid w:val="00212397"/>
    <w:rsid w:val="00266B3E"/>
    <w:rsid w:val="00975EA0"/>
    <w:rsid w:val="00B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BA6B3-7583-4F7F-A76D-6E8902D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E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2905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Coorcapacitacion</dc:creator>
  <cp:keywords/>
  <dc:description/>
  <cp:lastModifiedBy>Coorcapacitacion</cp:lastModifiedBy>
  <cp:revision>2</cp:revision>
  <dcterms:created xsi:type="dcterms:W3CDTF">2018-10-03T22:21:00Z</dcterms:created>
  <dcterms:modified xsi:type="dcterms:W3CDTF">2018-11-08T05:27:00Z</dcterms:modified>
</cp:coreProperties>
</file>